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{service.securityMark}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Экз. № {service.copyNumber}</w:t>
      </w:r>
    </w:p>
    <w:p>
      <w:pPr>
        <w:jc w:val="right"/>
      </w:pPr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  <w:jc w:val="right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УТВЕРЖДАЮ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{service.approverPosition}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{service.approverOrganization}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{service.approverName}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jc w:val="right"/>
      </w:pPr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Start w:id="54" w:name="паспорт-безопасности"/>
    <w:p>
      <w:pPr>
        <w:pStyle w:val="1"/>
        <w:jc w:val="center"/>
      </w:pPr>
      <w:r>
        <w:rPr>
          <w:rFonts w:ascii="Times New Roman" w:hAnsi="Times New Roman" w:eastAsia="Times New Roman"/>
          <w:b/>
          <w:color w:val="000000"/>
          <w:sz w:val="32"/>
        </w:rPr>
        <w:t xml:space="preserve">ПАСПОРТ БЕЗОПАСНОСТИ</w:t>
      </w:r>
    </w:p>
    <w:p>
      <w:pPr>
        <w:pStyle w:val="FirstParagraph"/>
        <w:jc w:val="center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{section1.fullName}</w:t>
      </w:r>
    </w:p>
    <w:p>
      <w:pPr>
        <w:pStyle w:val="BodyText"/>
        <w:jc w:val="center"/>
      </w:pPr>
      <w:r>
        <w:rPr>
          <w:rFonts w:ascii="Times New Roman" w:hAnsi="Times New Roman" w:eastAsia="Times New Roman"/>
          <w:color w:val="000000"/>
          <w:sz w:val="28"/>
        </w:rPr>
        <w:t xml:space="preserve">{service.settlementName}</w:t>
      </w:r>
    </w:p>
    <w:p>
      <w:pPr>
        <w:pStyle w:val="BodyText"/>
        <w:jc w:val="center"/>
      </w:pPr>
      <w:r>
        <w:rPr>
          <w:rFonts w:ascii="Times New Roman" w:hAnsi="Times New Roman" w:eastAsia="Times New Roman"/>
          <w:color w:val="000000"/>
          <w:sz w:val="28"/>
        </w:rPr>
        <w:t xml:space="preserve">{service.year} г.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СОГЛАСОВАНО: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{#service.signatures}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{position}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{organization}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{name}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{/service.signatures}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Start w:id="24" w:name="i.-общие-сведения-об-объекте-территории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I. ОБЩИЕ СВЕДЕНИЯ ОБ ОБЪЕКТЕ (ТЕРРИТОРИИ)</w:t>
      </w:r>
    </w:p>
    <w:bookmarkStart w:id="18" w:name="Xf16e4c631d1c64f1bb05c7bbe1a7d62da2fdb22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Наименование, адрес, контакты правообладателя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Полное 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{section1.fullName}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Сокращённое 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{section1.shortName}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{section1.ownerAddress}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Факс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{section1.ownerFax}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{section1.ownerEmail}</w:t>
            </w:r>
          </w:p>
        </w:tc>
      </w:tr>
    </w:tbl>
    <w:bookmarkEnd w:id="18"/>
    <w:bookmarkStart w:id="19" w:name="адрес-и-контакты-объекта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Адрес и контакты объекта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{section1.address}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Факс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{section1.fax}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{section1.email}</w:t>
            </w:r>
          </w:p>
        </w:tc>
      </w:tr>
    </w:tbl>
    <w:bookmarkEnd w:id="19"/>
    <w:bookmarkStart w:id="20" w:name="основные-сведения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Основные сведения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Основной вид деятельности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{section1.activityType}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Категория объекта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{section1.category}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Общая площадь объекта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{section1.totalArea}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Протяжённость периметра (м)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{section1.perimeterLength}</w:t>
            </w:r>
          </w:p>
        </w:tc>
      </w:tr>
    </w:tbl>
    <w:bookmarkEnd w:id="20"/>
    <w:bookmarkStart w:id="21" w:name="свидетельства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Свидетельства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Свидетельство о праве на землю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{section1.landCertificate}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Свидетельство о праве на недвижимость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{section1.propertyCertificate}</w:t>
            </w:r>
          </w:p>
        </w:tc>
      </w:tr>
    </w:tbl>
    <w:bookmarkEnd w:id="21"/>
    <w:bookmarkStart w:id="22" w:name="руководитель-объекта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Руководитель объекта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ФИО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{section1.directorName}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{section1.directorPosition}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Служебный 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Мобильный 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{section1.directorMobile}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{section1.directorEmail}</w:t>
            </w:r>
          </w:p>
        </w:tc>
      </w:tr>
    </w:tbl>
    <w:bookmarkEnd w:id="22"/>
    <w:bookmarkStart w:id="23" w:name="здания-и-территории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Здания и территории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{#buildings}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{index} | {name} | {typeLabel} | {area}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{/buildings}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Итого зданий: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{buildingsCount}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{buildingsArea}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Итого территорий: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{territoriesCount}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{territoriesArea}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3"/>
    <w:bookmarkEnd w:id="24"/>
    <w:bookmarkStart w:id="30" w:name="Xc922aa09729e0f14714d2ff6dc09e87ebae6b1a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 СВЕДЕНИЯ О РАБОТНИКАХ, ДЕТЯХ И ИНЫХ ЛИЦАХ</w:t>
      </w:r>
    </w:p>
    <w:bookmarkStart w:id="25" w:name="ii.1-режим-работы-объекта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II.1 РЕЖИМ РАБОТЫ ОБЪЕКТА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Режим работы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{section2.workSchedule}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Начало рабочего дня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{section2.workStartTime}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Окончание рабочего дня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{section2.workEndTime}</w:t>
            </w:r>
          </w:p>
        </w:tc>
      </w:tr>
    </w:tbl>
    <w:bookmarkEnd w:id="25"/>
    <w:bookmarkStart w:id="26" w:name="ii.2-общее-количество-работников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II.2 ОБЩЕЕ КОЛИЧЕСТВО РАБОТНИКОВ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Численность работников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{section2.totalEmployees} человек</w:t>
            </w:r>
          </w:p>
        </w:tc>
      </w:tr>
    </w:tbl>
    <w:bookmarkEnd w:id="26"/>
    <w:bookmarkStart w:id="27" w:name="ii.3-среднее-количество-в-течение-дня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II.3 СРЕДНЕЕ КОЛИЧЕСТВО В ТЕЧЕНИЕ ДНЯ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Работники, дети и иные лица (единовременно)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{section2.dayCount} человек</w:t>
            </w:r>
          </w:p>
        </w:tc>
      </w:tr>
    </w:tbl>
    <w:bookmarkEnd w:id="27"/>
    <w:bookmarkStart w:id="28" w:name="X4996c3f3c629f6b7f28ab395879ca4e3b799205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II.4 СРЕДНЕЕ КОЛИЧЕСТВО В НЕРАБОЧЕЕ ВРЕМЯ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Ночью, в выходные и праздничные дни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{section2.nightCount} человек</w:t>
            </w:r>
          </w:p>
        </w:tc>
      </w:tr>
    </w:tbl>
    <w:bookmarkEnd w:id="28"/>
    <w:bookmarkStart w:id="29" w:name="ii.5-сведения-об-арендаторах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II.5 СВЕДЕНИЯ ОБ АРЕНДАТОРАХ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188"/>
        <w:gridCol w:w="880"/>
        <w:gridCol w:w="1131"/>
        <w:gridCol w:w="754"/>
        <w:gridCol w:w="880"/>
        <w:gridCol w:w="880"/>
        <w:gridCol w:w="880"/>
        <w:gridCol w:w="880"/>
        <w:gridCol w:w="628"/>
        <w:gridCol w:w="81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Вид деятельности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Работников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Расположение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Режим работы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Руководитель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Срок аренды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{#section2.tenants}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{activity} | {employeesCount} | {location} | {area} | {schedule} | {director} | {phone} | {contractTerm}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{/section2.tenants}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9"/>
    <w:bookmarkEnd w:id="30"/>
    <w:bookmarkStart w:id="35" w:name="Xa452a96d97bb0b7fb8f5d443ab03f0d5abf5aaa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 СВЕДЕНИЯ О ПОТЕНЦИАЛЬНО ОПАСНЫХ УЧАСТКАХ И КРИТИЧЕСКИХ ЭЛЕМЕНТАХ</w:t>
      </w:r>
    </w:p>
    <w:bookmarkStart w:id="31" w:name="X9d0165e433087991eb49abd86fdb443f2543609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III.1 ПЕРЕЧЕНЬ ПОТЕНЦИАЛЬНО ОПАСНЫХ УЧАСТКОВ (ПРИ НАЛИЧИИ)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50"/>
        <w:gridCol w:w="1167"/>
        <w:gridCol w:w="2084"/>
        <w:gridCol w:w="1167"/>
        <w:gridCol w:w="1417"/>
        <w:gridCol w:w="183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Кол-во работников/детей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 угрозы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Возможные последствия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{#dangerousAreas}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{peopleCount} | {area} | {threatCharacter} | {consequences}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{/dangerousAreas}</w:t>
      </w:r>
    </w:p>
    <w:bookmarkEnd w:id="31"/>
    <w:bookmarkStart w:id="32" w:name="X10712496abd783a74500068e70abe0afed16eb7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III.2 ПЕРЕЧЕНЬ КРИТИЧЕСКИХ ЭЛЕМЕНТОВ (ПРИ НАЛИЧИИ)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50"/>
        <w:gridCol w:w="1167"/>
        <w:gridCol w:w="2084"/>
        <w:gridCol w:w="1167"/>
        <w:gridCol w:w="1417"/>
        <w:gridCol w:w="183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Кол-во работников/детей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 угрозы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Возможные последствия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{#section3.elements}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{peopleCount} | {area} | {threatCharacter} | {consequences}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{/section3.elements}</w:t>
      </w:r>
    </w:p>
    <w:bookmarkEnd w:id="32"/>
    <w:bookmarkStart w:id="33" w:name="X3a68d48f019279262d25a99ca9a03c2fd259b44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III.3 ВОЗМОЖНЫЕ МЕСТА И СПОСОБЫ ПРОНИКНОВЕНИЯ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{section3.penetrationMethods}</w:t>
      </w:r>
    </w:p>
    <w:bookmarkEnd w:id="33"/>
    <w:bookmarkStart w:id="34" w:name="Xdd62ea29e0669d71b7674585842232d632b1904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III.4 НАИБОЛЕЕ ВЕРОЯТНЫЕ СРЕДСТВА ПОРАЖЕНИЯ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{section3.penetrationWeapons}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34"/>
    <w:bookmarkEnd w:id="35"/>
    <w:bookmarkStart w:id="38" w:name="X19b4681e20110cd68e12f3871ef73f1524d67b4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IV. ПРОГНОЗ ПОСЛЕДСТВИЙ СОВЕРШЕНИЯ ТЕРРОРИСТИЧЕСКОГО АКТА</w:t>
      </w:r>
    </w:p>
    <w:bookmarkStart w:id="36" w:name="X79b7feef1a56b978c5308dfb3c83711258c006b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IV.1 ПРЕДПОЛАГАЕМЫЕ МОДЕЛИ ДЕЙСТВИЙ НАРУШИТЕЛЕЙ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{section4.attackModels}</w:t>
      </w:r>
    </w:p>
    <w:bookmarkEnd w:id="36"/>
    <w:bookmarkStart w:id="37" w:name="iv.2-вероятные-последствия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IV.2 ВЕРОЯТНЫЕ ПОСЛЕДСТВИЯ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{section4.damageArea}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37"/>
    <w:bookmarkEnd w:id="38"/>
    <w:bookmarkStart w:id="39" w:name="Xca428021469bb44c9c50157776b151f6c2dfa66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V. ОЦЕНКА СОЦИАЛЬНО-ЭКОНОМИЧЕСКИХ ПОСЛЕДСТВИЙ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10"/>
        <w:gridCol w:w="2453"/>
        <w:gridCol w:w="2453"/>
        <w:gridCol w:w="2803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Возможные людские потери (человек)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Возможные нарушения инфраструктуры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Возможный экономический ущерб (рублей)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{section5.humanLosses}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{section5.infrastructureDisruption}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{section5.economicDamage}</w:t>
            </w:r>
          </w:p>
        </w:tc>
      </w:tr>
    </w:tbl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39"/>
    <w:bookmarkStart w:id="42" w:name="Xcab8fec23e353bf422650c7afd2cc95f21b58e4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VI. СИЛЫ И СРЕДСТВА, ПРИВЛЕКАЕМЫЕ ДЛЯ ОБЕСПЕЧЕНИЯ АТЗ</w:t>
      </w:r>
    </w:p>
    <w:bookmarkStart w:id="40" w:name="X570b5932d790e209994c58c10fbf78067e35260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VI.1 СИЛЫ, ПРИВЛЕКАЕМЫЕ ДЛЯ ОБЕСПЕЧЕНИЯ АТЗ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Лицензия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Постов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Режим работы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{#section6.contractors}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{type} | {name} | {license} | {postsCount} | {phone} | {schedule}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{/section6.contractors}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{section6.forces}</w:t>
      </w:r>
    </w:p>
    <w:bookmarkEnd w:id="40"/>
    <w:bookmarkStart w:id="41" w:name="X5410794a1826fe9cc8b81e3d9e5a5a5825e9491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VI.2 СРЕДСТВА, ПРИВЛЕКАЕМЫЕ ДЛЯ ОБЕСПЕЧЕНИЯ АТЗ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{section6.means}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41"/>
    <w:bookmarkEnd w:id="42"/>
    <w:bookmarkStart w:id="46" w:name="Xc0ff58a634f0811a4a8b56b9168c29eff7f2bf4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 МЕРЫ ПО ЗАЩИТЕ И ПОЖАРНОЙ БЕЗОПАСНОСТИ ОБЪЕКТА</w:t>
      </w:r>
    </w:p>
    <w:bookmarkStart w:id="43" w:name="X17cbbd6fb8b0403ab526df0b595cfb76a312b91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VII.1 МЕРЫ ПО ИНЖЕНЕРНО-ТЕХНИЧЕСКОЙ ЗАЩИТЕ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Элемент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Наличие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Марка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Количество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Характеристика/состояние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{#technicalMeasures}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{requirement} | {presence} | {brand} | {quantity} | {implementation}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{/technicalMeasures}</w:t>
      </w:r>
    </w:p>
    <w:bookmarkEnd w:id="43"/>
    <w:bookmarkStart w:id="44" w:name="vii.2-меры-по-физической-защите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VII.2 МЕРЫ ПО ФИЗИЧЕСКОЙ ЗАЩИТЕ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Элемент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Значение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{#physicalMeasures}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{requirement} | {implementation}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{/physicalMeasures}</w:t>
      </w:r>
    </w:p>
    <w:bookmarkEnd w:id="44"/>
    <w:bookmarkStart w:id="45" w:name="X7729cbc8caf13d93fb607a6e8a163099f73c2c3"/>
    <w:p>
      <w:pPr>
        <w:pStyle w:val="3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VII.3 НАЛИЧИЕ СИСТЕМ ПРОТИВОПОЖАРНОЙ ЗАЩИТЫ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Система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Характеристика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{#fireSafetyMeasures}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{requirement} | {type} | {implementation}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{/fireSafetyMeasures}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{section7.additionalNotes}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45"/>
    <w:bookmarkEnd w:id="46"/>
    <w:bookmarkStart w:id="47" w:name="viii.-выводы-и-рекомендации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VIII. ВЫВОДЫ И РЕКОМЕНДАЦИИ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{section8.conclusions}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Требование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Мероприятие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Срок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Ответственный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{#section8.recommendations}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{requirement} | {action} | {deadline} | {responsible}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{/section8.recommendations}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47"/>
    <w:bookmarkStart w:id="51" w:name="ix.-дополнительные-сведения-при-наличии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IX. ДОПОЛНИТЕЛЬНЫЕ СВЕДЕНИЯ (ПРИ НАЛИЧИИ)</w:t>
      </w:r>
    </w:p>
    <w:bookmarkStart w:id="48" w:name="сведения-о-государственной-тайне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Сведения о государственной тайне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Наличие режимно-секретного органа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{section9.secretUnit}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Кол-во сотрудников с допуском к гостайне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{section9.secretAccessEmployees}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Наличие локальных зон безопасности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{section9.localSecurityZones}</w:t>
            </w:r>
          </w:p>
        </w:tc>
      </w:tr>
    </w:tbl>
    <w:bookmarkEnd w:id="48"/>
    <w:bookmarkStart w:id="49" w:name="меры-по-обеспечению-режима-секретности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Меры по обеспечению режима секретности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{section9.secretMeasures}</w:t>
      </w:r>
    </w:p>
    <w:bookmarkEnd w:id="49"/>
    <w:bookmarkStart w:id="50" w:name="другие-сведения"/>
    <w:p>
      <w:pPr>
        <w:pStyle w:val="3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Другие сведения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{section9.otherInfo}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50"/>
    <w:bookmarkEnd w:id="51"/>
    <w:bookmarkStart w:id="52" w:name="приложения"/>
    <w:p>
      <w:pPr>
        <w:pStyle w:val="2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Приложения</w:t>
      </w:r>
    </w:p>
    <w:p>
      <w:pPr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План (схема) объекта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с обозначением потенциально опасных участков и критических элементов объекта (территории).</w:t>
      </w:r>
    </w:p>
    <w:p>
      <w:pPr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План (схема) охраны объекта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с указанием контрольно-пропускных пунктов, постов охраны, инженерно-технических средств охраны.</w:t>
      </w:r>
    </w:p>
    <w:p>
      <w:pPr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Акт обследования и категорирования объекта (территории)</w:t>
      </w:r>
      <w:r>
        <w:rPr>
          <w:rFonts w:ascii="Times New Roman" w:hAnsi="Times New Roman" w:eastAsia="Times New Roman"/>
          <w:color w:val="000000"/>
          <w:sz w:val="28"/>
        </w:rPr>
        <w:t xml:space="preserve">.</w:t>
      </w:r>
    </w:p>
    <w:p>
      <w:pPr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Перечень мероприятий по обеспечению антитеррористической защищённости объекта (территории)</w:t>
      </w:r>
      <w:r>
        <w:rPr>
          <w:rFonts w:ascii="Times New Roman" w:hAnsi="Times New Roman" w:eastAsia="Times New Roman"/>
          <w:color w:val="000000"/>
          <w:sz w:val="28"/>
        </w:rPr>
        <w:t xml:space="preserve">.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52"/>
    <w:bookmarkStart w:id="53" w:name="подписи"/>
    <w:p>
      <w:pPr>
        <w:pStyle w:val="2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Подписи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Члены комиссии: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Руководитель объекта: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{section1.directorName}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Актуализирован 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Основание актуализации: {service.actualizationReason}</w:t>
      </w:r>
    </w:p>
    <w:bookmarkEnd w:id="53"/>
    <w:bookmarkEnd w:id="54"/>
    <w:sectPr w:rsidR="0023790A" w:rsidRPr="00723A19" w:rsidSect="00185809">
      <w:headerReference r:id="rId7" w:type="default"/>
      <w:footerReference r:id="rId8" w:type="even"/>
      <w:footerReference r:id="rId9" w:type="default"/>
      <w:pgSz w:h="16838" w:w="11906"/>
      <w:pgMar w:bottom="1134" w:footer="708" w:gutter="0" w:header="708" w:left="1701" w:right="850" w:top="1134"/>
      <w:cols w:space="720"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1507782654"/>
      <w:docPartObj>
        <w:docPartGallery w:val="Page Numbers (Bottom of Page)"/>
        <w:docPartUnique/>
      </w:docPartObj>
    </w:sdtPr>
    <w:sdtContent>
      <w:p w14:paraId="75EF77CD" w14:textId="77777777" w:rsidR="00185809" w:rsidRDefault="00185809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</w:rPr>
          <w:fldChar w:fldCharType="end"/>
        </w:r>
      </w:p>
    </w:sdtContent>
  </w:sdt>
  <w:p w14:paraId="7ED3E848" w14:textId="77777777" w:rsidR="00185809" w:rsidRDefault="0018580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1621721495"/>
      <w:docPartObj>
        <w:docPartGallery w:val="Page Numbers (Bottom of Page)"/>
        <w:docPartUnique/>
      </w:docPartObj>
    </w:sdtPr>
    <w:sdtContent>
      <w:p w14:paraId="1A6C9946" w14:textId="77777777" w:rsidR="00185809" w:rsidRDefault="00185809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  <w:noProof/>
          </w:rPr>
          <w:t>1</w:t>
        </w:r>
        <w:r>
          <w:rPr>
            <w:rStyle w:val="ad"/>
          </w:rPr>
          <w:fldChar w:fldCharType="end"/>
        </w:r>
      </w:p>
    </w:sdtContent>
  </w:sdt>
  <w:p w14:paraId="5340D0EB" w14:textId="77777777" w:rsidR="00185809" w:rsidRPr="00185809" w:rsidRDefault="00185809" w:rsidP="00185809">
    <w:pPr>
      <w:pStyle w:val="ab"/>
      <w:ind w:right="100"/>
      <w:jc w:val="right"/>
    </w:pPr>
    <w:r>
      <w:t>Документ создан АТЗ Про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1AE1" w14:textId="77777777" w:rsidR="00185809" w:rsidRDefault="00185809" w:rsidP="00185809">
    <w:pPr>
      <w:pStyle w:val="a9"/>
      <w:jc w:val="center"/>
    </w:pPr>
    <w:r>
      <w:t xml:space="preserve">Паспорт безопасности объекта (территории) </w:t>
    </w:r>
    <w:r w:rsidRPr="00185809">
      <w:t>{</w:t>
    </w:r>
    <w:r>
      <w:t>section1.shortName}</w:t>
    </w: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B8C610B8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16A73153"/>
    <w:multiLevelType w:val="hybridMultilevel"/>
    <w:tmpl w:val="E42E4FA4"/>
    <w:lvl w:ilvl="0" w:tplc="DD9E7EAC">
      <w:start w:val="1"/>
      <w:numFmt w:val="bullet"/>
      <w:lvlText w:val="●"/>
      <w:lvlJc w:val="left"/>
      <w:pPr>
        <w:ind w:hanging="360" w:left="720"/>
      </w:pPr>
    </w:lvl>
    <w:lvl w:ilvl="1" w:tplc="2B42E836">
      <w:start w:val="1"/>
      <w:numFmt w:val="bullet"/>
      <w:lvlText w:val="○"/>
      <w:lvlJc w:val="left"/>
      <w:pPr>
        <w:ind w:hanging="360" w:left="1440"/>
      </w:pPr>
    </w:lvl>
    <w:lvl w:ilvl="2" w:tplc="EF4276B0">
      <w:start w:val="1"/>
      <w:numFmt w:val="bullet"/>
      <w:lvlText w:val="■"/>
      <w:lvlJc w:val="left"/>
      <w:pPr>
        <w:ind w:hanging="360" w:left="2160"/>
      </w:pPr>
    </w:lvl>
    <w:lvl w:ilvl="3" w:tplc="CB1EF826">
      <w:start w:val="1"/>
      <w:numFmt w:val="bullet"/>
      <w:lvlText w:val="●"/>
      <w:lvlJc w:val="left"/>
      <w:pPr>
        <w:ind w:hanging="360" w:left="2880"/>
      </w:pPr>
    </w:lvl>
    <w:lvl w:ilvl="4" w:tplc="9536B52A">
      <w:start w:val="1"/>
      <w:numFmt w:val="bullet"/>
      <w:lvlText w:val="○"/>
      <w:lvlJc w:val="left"/>
      <w:pPr>
        <w:ind w:hanging="360" w:left="3600"/>
      </w:pPr>
    </w:lvl>
    <w:lvl w:ilvl="5" w:tplc="B7E09C30">
      <w:start w:val="1"/>
      <w:numFmt w:val="bullet"/>
      <w:lvlText w:val="■"/>
      <w:lvlJc w:val="left"/>
      <w:pPr>
        <w:ind w:hanging="360" w:left="4320"/>
      </w:pPr>
    </w:lvl>
    <w:lvl w:ilvl="6" w:tplc="77208AD8">
      <w:start w:val="1"/>
      <w:numFmt w:val="bullet"/>
      <w:lvlText w:val="●"/>
      <w:lvlJc w:val="left"/>
      <w:pPr>
        <w:ind w:hanging="360" w:left="5040"/>
      </w:pPr>
    </w:lvl>
    <w:lvl w:ilvl="7" w:tplc="27346D58">
      <w:start w:val="1"/>
      <w:numFmt w:val="bullet"/>
      <w:lvlText w:val="●"/>
      <w:lvlJc w:val="left"/>
      <w:pPr>
        <w:ind w:hanging="360" w:left="5760"/>
      </w:pPr>
    </w:lvl>
    <w:lvl w:ilvl="8" w:tplc="52F01F9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184098957" w:numId="1">
    <w:abstractNumId w:val="1"/>
    <w:lvlOverride w:ilvl="0">
      <w:startOverride w:val="1"/>
    </w:lvlOverride>
  </w:num>
  <w:num w16cid:durableId="1101947515" w:numId="2">
    <w:abstractNumId w:val="0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1"/>
  <w:displayBackgroundShape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08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CC0"/>
    <w:rsid w:val="0011786D"/>
    <w:rsid w:val="001470F9"/>
    <w:rsid w:val="00185809"/>
    <w:rsid w:val="00234CA4"/>
    <w:rsid w:val="0023790A"/>
    <w:rsid w:val="002D0618"/>
    <w:rsid w:val="00310CF1"/>
    <w:rsid w:val="00325DA8"/>
    <w:rsid w:val="00326C9A"/>
    <w:rsid w:val="004D1AB1"/>
    <w:rsid w:val="004E068D"/>
    <w:rsid w:val="00723A19"/>
    <w:rsid w:val="007A3CC0"/>
    <w:rsid w:val="007B071E"/>
    <w:rsid w:val="00BB3241"/>
    <w:rsid w:val="00BE134B"/>
    <w:rsid w:val="00C279C1"/>
    <w:rsid w:val="00EE324D"/>
    <w:rsid w:val="00EF4A34"/>
    <w:rsid w:val="00F04A5A"/>
  </w:rsids>
  <w:themeFontLang w:eastAsia="zh-CN" w:val="ru-RU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cs="Times New Roman" w:eastAsia="Times New Roman" w:hAnsi="Times New Roman"/>
        <w:lang w:bidi="ar-SA" w:eastAsia="zh-CN" w:val="ru-RU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</w:style>
  <w:style w:styleId="1" w:type="paragraph">
    <w:name w:val="heading 1"/>
    <w:uiPriority w:val="9"/>
    <w:qFormat/>
    <w:pPr>
      <w:outlineLvl w:val="0"/>
    </w:pPr>
    <w:rPr>
      <w:color w:val="2E74B5"/>
      <w:sz w:val="32"/>
      <w:szCs w:val="32"/>
    </w:rPr>
  </w:style>
  <w:style w:styleId="2" w:type="paragraph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styleId="3" w:type="paragraph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styleId="4" w:type="paragraph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styleId="5" w:type="paragraph">
    <w:name w:val="heading 5"/>
    <w:uiPriority w:val="9"/>
    <w:semiHidden/>
    <w:unhideWhenUsed/>
    <w:qFormat/>
    <w:pPr>
      <w:outlineLvl w:val="4"/>
    </w:pPr>
    <w:rPr>
      <w:color w:val="2E74B5"/>
    </w:rPr>
  </w:style>
  <w:style w:styleId="6" w:type="paragraph">
    <w:name w:val="heading 6"/>
    <w:uiPriority w:val="9"/>
    <w:semiHidden/>
    <w:unhideWhenUsed/>
    <w:qFormat/>
    <w:pPr>
      <w:outlineLvl w:val="5"/>
    </w:pPr>
    <w:rPr>
      <w:color w:val="1F4D78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Title"/>
    <w:uiPriority w:val="10"/>
    <w:qFormat/>
    <w:rPr>
      <w:sz w:val="56"/>
      <w:szCs w:val="56"/>
    </w:rPr>
  </w:style>
  <w:style w:customStyle="1" w:styleId="10" w:type="paragraph">
    <w:name w:val="Строгий1"/>
    <w:qFormat/>
    <w:rPr>
      <w:b/>
      <w:bCs/>
    </w:rPr>
  </w:style>
  <w:style w:styleId="a4" w:type="paragraph">
    <w:name w:val="List Paragraph"/>
    <w:qFormat/>
  </w:style>
  <w:style w:styleId="a5" w:type="character">
    <w:name w:val="Hyperlink"/>
    <w:uiPriority w:val="99"/>
    <w:unhideWhenUsed/>
    <w:rPr>
      <w:color w:val="0563C1"/>
      <w:u w:val="single"/>
    </w:rPr>
  </w:style>
  <w:style w:styleId="a6" w:type="character">
    <w:name w:val="footnote reference"/>
    <w:uiPriority w:val="99"/>
    <w:semiHidden/>
    <w:unhideWhenUsed/>
    <w:rPr>
      <w:vertAlign w:val="superscript"/>
    </w:rPr>
  </w:style>
  <w:style w:styleId="a7" w:type="paragraph">
    <w:name w:val="footnote text"/>
    <w:link w:val="a8"/>
    <w:uiPriority w:val="99"/>
    <w:semiHidden/>
    <w:unhideWhenUsed/>
  </w:style>
  <w:style w:customStyle="1" w:styleId="a8" w:type="character">
    <w:name w:val="Текст сноски Знак"/>
    <w:link w:val="a7"/>
    <w:uiPriority w:val="99"/>
    <w:semiHidden/>
    <w:unhideWhenUsed/>
    <w:rPr>
      <w:sz w:val="20"/>
      <w:szCs w:val="20"/>
    </w:rPr>
  </w:style>
  <w:style w:styleId="a9" w:type="paragraph">
    <w:name w:val="header"/>
    <w:basedOn w:val="a"/>
    <w:link w:val="aa"/>
    <w:uiPriority w:val="99"/>
    <w:unhideWhenUsed/>
    <w:rsid w:val="00185809"/>
    <w:pPr>
      <w:tabs>
        <w:tab w:pos="4677" w:val="center"/>
        <w:tab w:pos="9355" w:val="right"/>
      </w:tabs>
    </w:pPr>
  </w:style>
  <w:style w:customStyle="1" w:styleId="aa" w:type="character">
    <w:name w:val="Верхний колонтитул Знак"/>
    <w:basedOn w:val="a0"/>
    <w:link w:val="a9"/>
    <w:uiPriority w:val="99"/>
    <w:rsid w:val="00185809"/>
  </w:style>
  <w:style w:styleId="ab" w:type="paragraph">
    <w:name w:val="footer"/>
    <w:basedOn w:val="a"/>
    <w:link w:val="ac"/>
    <w:uiPriority w:val="99"/>
    <w:unhideWhenUsed/>
    <w:rsid w:val="00185809"/>
    <w:pPr>
      <w:tabs>
        <w:tab w:pos="4677" w:val="center"/>
        <w:tab w:pos="9355" w:val="right"/>
      </w:tabs>
    </w:pPr>
  </w:style>
  <w:style w:customStyle="1" w:styleId="ac" w:type="character">
    <w:name w:val="Нижний колонтитул Знак"/>
    <w:basedOn w:val="a0"/>
    <w:link w:val="ab"/>
    <w:uiPriority w:val="99"/>
    <w:rsid w:val="00185809"/>
  </w:style>
  <w:style w:styleId="ad" w:type="character">
    <w:name w:val="page number"/>
    <w:basedOn w:val="a0"/>
    <w:uiPriority w:val="99"/>
    <w:semiHidden/>
    <w:unhideWhenUsed/>
    <w:rsid w:val="00185809"/>
  </w:style>
  <w:style w:customStyle="1" w:styleId="SourceCode" w:type="paragraph">
    <w:name w:val="Source Code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customStyle="1" w:styleId="SourceCode0" w:type="paragraph">
    <w:name w:val="Source Code"/>
    <w:pPr>
      <w:wordWrap w:val="0"/>
    </w:pPr>
  </w:style>
  <w:style w:customStyle="1" w:styleId="KeywordTok0" w:type="character">
    <w:name w:val="KeywordTok"/>
    <w:rPr>
      <w:b/>
      <w:color w:val="007020"/>
    </w:rPr>
  </w:style>
  <w:style w:customStyle="1" w:styleId="DataTypeTok0" w:type="character">
    <w:name w:val="DataTypeTok"/>
    <w:rPr>
      <w:color w:val="902000"/>
    </w:rPr>
  </w:style>
  <w:style w:customStyle="1" w:styleId="DecValTok0" w:type="character">
    <w:name w:val="DecValTok"/>
    <w:rPr>
      <w:color w:val="40A070"/>
    </w:rPr>
  </w:style>
  <w:style w:customStyle="1" w:styleId="BaseNTok0" w:type="character">
    <w:name w:val="BaseNTok"/>
    <w:rPr>
      <w:color w:val="40A070"/>
    </w:rPr>
  </w:style>
  <w:style w:customStyle="1" w:styleId="FloatTok0" w:type="character">
    <w:name w:val="FloatTok"/>
    <w:rPr>
      <w:color w:val="40A070"/>
    </w:rPr>
  </w:style>
  <w:style w:customStyle="1" w:styleId="ConstantTok0" w:type="character">
    <w:name w:val="ConstantTok"/>
    <w:rPr>
      <w:color w:val="880000"/>
    </w:rPr>
  </w:style>
  <w:style w:customStyle="1" w:styleId="CharTok0" w:type="character">
    <w:name w:val="CharTok"/>
    <w:rPr>
      <w:color w:val="4070A0"/>
    </w:rPr>
  </w:style>
  <w:style w:customStyle="1" w:styleId="SpecialCharTok0" w:type="character">
    <w:name w:val="SpecialCharTok"/>
    <w:rPr>
      <w:color w:val="4070A0"/>
    </w:rPr>
  </w:style>
  <w:style w:customStyle="1" w:styleId="StringTok0" w:type="character">
    <w:name w:val="StringTok"/>
    <w:rPr>
      <w:color w:val="4070A0"/>
    </w:rPr>
  </w:style>
  <w:style w:customStyle="1" w:styleId="VerbatimStringTok0" w:type="character">
    <w:name w:val="VerbatimStringTok"/>
    <w:rPr>
      <w:color w:val="4070A0"/>
    </w:rPr>
  </w:style>
  <w:style w:customStyle="1" w:styleId="SpecialStringTok0" w:type="character">
    <w:name w:val="SpecialStringTok"/>
    <w:rPr>
      <w:color w:val="BB6688"/>
    </w:rPr>
  </w:style>
  <w:style w:customStyle="1" w:styleId="ImportTok0" w:type="character">
    <w:name w:val="ImportTok"/>
    <w:rPr>
      <w:b/>
      <w:color w:val="008000"/>
    </w:rPr>
  </w:style>
  <w:style w:customStyle="1" w:styleId="CommentTok0" w:type="character">
    <w:name w:val="CommentTok"/>
    <w:rPr>
      <w:i/>
      <w:color w:val="60A0B0"/>
    </w:rPr>
  </w:style>
  <w:style w:customStyle="1" w:styleId="DocumentationTok0" w:type="character">
    <w:name w:val="DocumentationTok"/>
    <w:rPr>
      <w:i/>
      <w:color w:val="BA2121"/>
    </w:rPr>
  </w:style>
  <w:style w:customStyle="1" w:styleId="AnnotationTok0" w:type="character">
    <w:name w:val="AnnotationTok"/>
    <w:rPr>
      <w:b/>
      <w:i/>
      <w:color w:val="60A0B0"/>
    </w:rPr>
  </w:style>
  <w:style w:customStyle="1" w:styleId="CommentVarTok0" w:type="character">
    <w:name w:val="CommentVarTok"/>
    <w:rPr>
      <w:b/>
      <w:i/>
      <w:color w:val="60A0B0"/>
    </w:rPr>
  </w:style>
  <w:style w:customStyle="1" w:styleId="OtherTok0" w:type="character">
    <w:name w:val="OtherTok"/>
    <w:rPr>
      <w:color w:val="007020"/>
    </w:rPr>
  </w:style>
  <w:style w:customStyle="1" w:styleId="FunctionTok0" w:type="character">
    <w:name w:val="FunctionTok"/>
    <w:rPr>
      <w:color w:val="06287E"/>
    </w:rPr>
  </w:style>
  <w:style w:customStyle="1" w:styleId="VariableTok0" w:type="character">
    <w:name w:val="VariableTok"/>
    <w:rPr>
      <w:color w:val="19177C"/>
    </w:rPr>
  </w:style>
  <w:style w:customStyle="1" w:styleId="ControlFlowTok0" w:type="character">
    <w:name w:val="ControlFlowTok"/>
    <w:rPr>
      <w:b/>
      <w:color w:val="007020"/>
    </w:rPr>
  </w:style>
  <w:style w:customStyle="1" w:styleId="OperatorTok0" w:type="character">
    <w:name w:val="OperatorTok"/>
    <w:rPr>
      <w:color w:val="666666"/>
    </w:rPr>
  </w:style>
  <w:style w:customStyle="1" w:styleId="BuiltInTok0" w:type="character">
    <w:name w:val="BuiltInTok"/>
    <w:rPr>
      <w:color w:val="008000"/>
    </w:rPr>
  </w:style>
  <w:style w:customStyle="1" w:styleId="ExtensionTok0" w:type="character">
    <w:name w:val="ExtensionTok"/>
  </w:style>
  <w:style w:customStyle="1" w:styleId="PreprocessorTok0" w:type="character">
    <w:name w:val="PreprocessorTok"/>
    <w:rPr>
      <w:color w:val="BC7A00"/>
    </w:rPr>
  </w:style>
  <w:style w:customStyle="1" w:styleId="AttributeTok0" w:type="character">
    <w:name w:val="AttributeTok"/>
    <w:rPr>
      <w:color w:val="7D9029"/>
    </w:rPr>
  </w:style>
  <w:style w:customStyle="1" w:styleId="RegionMarkerTok0" w:type="character">
    <w:name w:val="RegionMarkerTok"/>
  </w:style>
  <w:style w:customStyle="1" w:styleId="InformationTok0" w:type="character">
    <w:name w:val="InformationTok"/>
    <w:rPr>
      <w:b/>
      <w:i/>
      <w:color w:val="60A0B0"/>
    </w:rPr>
  </w:style>
  <w:style w:customStyle="1" w:styleId="WarningTok0" w:type="character">
    <w:name w:val="WarningTok"/>
    <w:rPr>
      <w:b/>
      <w:i/>
      <w:color w:val="60A0B0"/>
    </w:rPr>
  </w:style>
  <w:style w:customStyle="1" w:styleId="AlertTok0" w:type="character">
    <w:name w:val="AlertTok"/>
    <w:rPr>
      <w:b/>
      <w:color w:val="FF0000"/>
    </w:rPr>
  </w:style>
  <w:style w:customStyle="1" w:styleId="ErrorTok0" w:type="character">
    <w:name w:val="ErrorTok"/>
    <w:rPr>
      <w:b/>
      <w:color w:val="FF0000"/>
    </w:rPr>
  </w:style>
  <w:style w:customStyle="1" w:styleId="NormalTok0" w:type="character">
    <w:name w:val="NormalTok"/>
  </w:style>
  <w:style w:styleId="ae" w:type="table">
    <w:name w:val="Table Grid"/>
    <w:basedOn w:val="a1"/>
    <w:uiPriority w:val="39"/>
    <w:rsid w:val="00F04A5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7" Type="http://schemas.openxmlformats.org/officeDocument/2006/relationships/numbering" Target="numbering.xml"/><Relationship Id="rId16" Type="http://schemas.openxmlformats.org/officeDocument/2006/relationships/styles" Target="styles.xml"/><Relationship Id="rId15" Type="http://schemas.openxmlformats.org/officeDocument/2006/relationships/settings" Target="settings.xml"/><Relationship Id="rId14" Type="http://schemas.openxmlformats.org/officeDocument/2006/relationships/webSettings" Target="web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notes" Target="footnotes.xml"/><Relationship Id="rId10" Type="http://schemas.openxmlformats.org/officeDocument/2006/relationships/comments" Target="comments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2026-01-26T20:57:40Z</dcterms:created>
  <dcterms:modified xsi:type="dcterms:W3CDTF">2026-01-26T20:57:40Z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